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1C1F6F">
      <w:r>
        <w:fldChar w:fldCharType="begin"/>
      </w:r>
      <w:r>
        <w:instrText xml:space="preserve"> HYPERLINK "</w:instrText>
      </w:r>
      <w:r w:rsidRPr="001C1F6F">
        <w:instrText>https://www.uvzsr.sk/index.php?option=com_content&amp;view=article&amp;id=4132:na-jednom-mieste-tu-najdete-vetky-aktualne-platne-opatrenia-uvz-sr-v-suvislosti-s-covid-19&amp;catid=250:koronavirus-2019-ncov&amp;Itemid=153</w:instrText>
      </w:r>
      <w:r>
        <w:instrText xml:space="preserve">" </w:instrText>
      </w:r>
      <w:r>
        <w:fldChar w:fldCharType="separate"/>
      </w:r>
      <w:r w:rsidRPr="00886010">
        <w:rPr>
          <w:rStyle w:val="Hypertextovprepojenie"/>
        </w:rPr>
        <w:t>https://www.uvzsr.sk/index.php?option=com_content&amp;view=article&amp;id=4132:na-jednom-mieste-tu-najdete-vetky-aktualne-platne-opatrenia-uvz-sr-v-suvislosti-s-covid-19&amp;catid=250:koronavirus-2019-ncov&amp;Itemid=153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1C1F6F" w:rsidRPr="001C1F6F" w:rsidTr="001C1F6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1C1F6F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NA JEDNOM MIESTE: TU nájdete všetky aktuálne platné vyhlášky, usmernenia, odporúčania ÚVZ SR a zásady domácej izolácie </w:t>
            </w:r>
          </w:p>
        </w:tc>
        <w:tc>
          <w:tcPr>
            <w:tcW w:w="5000" w:type="pct"/>
            <w:vAlign w:val="center"/>
            <w:hideMark/>
          </w:tcPr>
          <w:p w:rsidR="001C1F6F" w:rsidRPr="001C1F6F" w:rsidRDefault="001C1F6F" w:rsidP="001C1F6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6294FADF" wp14:editId="08692D8F">
                  <wp:extent cx="128905" cy="128905"/>
                  <wp:effectExtent l="0" t="0" r="4445" b="4445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1C1F6F" w:rsidRPr="001C1F6F" w:rsidRDefault="001C1F6F" w:rsidP="001C1F6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A33C4E8" wp14:editId="0F15EB4D">
                  <wp:extent cx="128905" cy="128905"/>
                  <wp:effectExtent l="0" t="0" r="4445" b="4445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F6F" w:rsidRPr="001C1F6F" w:rsidRDefault="001C1F6F" w:rsidP="001C1F6F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1C1F6F" w:rsidRPr="001C1F6F" w:rsidTr="001C1F6F">
        <w:trPr>
          <w:tblCellSpacing w:w="15" w:type="dxa"/>
        </w:trPr>
        <w:tc>
          <w:tcPr>
            <w:tcW w:w="0" w:type="auto"/>
            <w:hideMark/>
          </w:tcPr>
          <w:p w:rsidR="001C1F6F" w:rsidRPr="001C1F6F" w:rsidRDefault="001C1F6F" w:rsidP="001C1F6F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999999"/>
                <w:lang w:eastAsia="sk-SK"/>
              </w:rPr>
              <w:t xml:space="preserve">Piatok, 23. október 2020 14:30 </w:t>
            </w:r>
          </w:p>
          <w:p w:rsidR="001C1F6F" w:rsidRPr="001C1F6F" w:rsidRDefault="001C1F6F" w:rsidP="001C1F6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FF0000"/>
                <w:sz w:val="28"/>
                <w:szCs w:val="28"/>
                <w:lang w:eastAsia="sk-SK"/>
              </w:rPr>
              <w:t>Posledná úprava Piatok, 06. november 2020 18:28</w:t>
            </w:r>
          </w:p>
          <w:p w:rsidR="001C1F6F" w:rsidRPr="001C1F6F" w:rsidRDefault="001C1F6F" w:rsidP="001C1F6F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</w:p>
        </w:tc>
      </w:tr>
      <w:tr w:rsidR="001C1F6F" w:rsidRPr="001C1F6F" w:rsidTr="001C1F6F">
        <w:trPr>
          <w:tblCellSpacing w:w="15" w:type="dxa"/>
        </w:trPr>
        <w:tc>
          <w:tcPr>
            <w:tcW w:w="0" w:type="auto"/>
            <w:hideMark/>
          </w:tcPr>
          <w:p w:rsidR="001C1F6F" w:rsidRDefault="001C1F6F" w:rsidP="001C1F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</w:pPr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Naposledy aktualizované: 30. október 2020. </w:t>
            </w:r>
            <w:bookmarkStart w:id="0" w:name="_GoBack"/>
            <w:bookmarkEnd w:id="0"/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Informácie uvedené na tejto stránke neslúžia ako záväzná interpretácia platnej legislatívy. V prípade rozporu platí výlučne znenie vyhlášok uverejnených na </w:t>
            </w:r>
            <w:hyperlink r:id="rId10" w:history="1">
              <w:r w:rsidRPr="001C1F6F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lang w:eastAsia="sk-SK"/>
                </w:rPr>
                <w:t>Úradnej tabuli ÚVZ SR</w:t>
              </w:r>
            </w:hyperlink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 a vo </w:t>
            </w:r>
            <w:hyperlink r:id="rId11" w:tgtFrame="_blank" w:history="1">
              <w:r w:rsidRPr="001C1F6F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lang w:eastAsia="sk-SK"/>
                </w:rPr>
                <w:t>Vestníku vlády SR</w:t>
              </w:r>
            </w:hyperlink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Pandémia ochorenia </w:t>
            </w:r>
            <w:hyperlink r:id="rId12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COVID-19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stále pretrváva. </w:t>
            </w:r>
            <w:hyperlink r:id="rId13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Nosenie rúšok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patrí k jedným z kľúčových preventívnych opatrení. Ďalšími dôležitými krokmi v boji proti ochoreniu COVID-19 sú dôkladné </w:t>
            </w:r>
            <w:hyperlink r:id="rId14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umývanie rúk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dodržiavanie dostatočného </w:t>
            </w:r>
            <w:hyperlink r:id="rId15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sociálneho odstupu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Dbajme na základné hygienické opatrenia doma, v exteriéri i na pracovisku. Ochorenie COVID-19 môže prenášať i človek, ktorý nemá príznaky. Užitočné informácie nájdete na webe </w:t>
            </w:r>
            <w:hyperlink r:id="rId16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www.korona.gov.sk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v priečinku </w:t>
            </w:r>
            <w:hyperlink r:id="rId17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COVID-19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na webe ÚVZ SR. Štatistiku k aktuálnemu výskytu ochorenia COVID-19 </w:t>
            </w:r>
            <w:hyperlink r:id="rId18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Štatistiky o výskyte ochorenia COVID-19 vo svete </w:t>
            </w:r>
            <w:hyperlink r:id="rId19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 </w:t>
            </w:r>
            <w:hyperlink r:id="rId20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Stanovisko hlavného hygienika SR k zavádzaniu prísnejších opatrení </w:t>
            </w:r>
            <w:hyperlink r:id="rId21" w:history="1">
              <w:r w:rsidRPr="001C1F6F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sk-SK"/>
              </w:rPr>
              <w:t>PREVÁDZKY, ZAMESTNÁVATELIA PO PLOŠNOM TESTOVANÍ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Vyhlášky ÚVZ SR, ktoré nariaďujú opatrenia pri ohrození verejného zdravia k režimu vstupu osôb do priestorov prevádzok a priestorov zamestnávateľa nájdete tu:</w:t>
            </w:r>
          </w:p>
          <w:p w:rsidR="001C1F6F" w:rsidRPr="001C1F6F" w:rsidRDefault="001C1F6F" w:rsidP="001C1F6F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22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vyhláška platná od 2. novembra 2020 05:00 hod. do 9. novembra 2020 01:00 hod</w:t>
              </w:r>
            </w:hyperlink>
          </w:p>
          <w:p w:rsidR="001C1F6F" w:rsidRPr="001C1F6F" w:rsidRDefault="001C1F6F" w:rsidP="001C1F6F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23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vyhlášky platné od 9. novembra 2020 05:00 hod. do 15. novembra 2020 01:00 hod</w:t>
              </w:r>
            </w:hyperlink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 9. do 15. novembra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osoby v územných obvodoch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okresov podieľajúcich sa na druhej fáze celoplošného testovania „Spoločná zodpovednosť“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postupujú v zmysle 20 vyhlášky. V prípade, ak sa na osobu nevzťahuje výnimka (sú vymenované priamo vo vyhláške), preukazujú sa certifikátom s negatívnym výsledkom antigénového testu vykonaným od 6. do 8. novembra 2020.</w:t>
            </w:r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Druhá fáza testovania sa uskutoční v okresoch Senica, Skalica, Dolný Kubín, Martin, Námestovo, Turčianske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Teplice,Humenné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Medzilaborce, Michalovce, Snina, Sobrance, Vranov nad Topľou, Bardejov, Kežmarok,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Levoča,Poprad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Prešov, Sabinov, Stará Ľubovňa, Stropkov, Svidník, Gelnica, Spišská Nová Ves, Liptovský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Mikuláš,Ružomberok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Tvrdošín, Dunajská Streda, Partizánske, Prievidza, Topoľčany, Bánovce nad Bebravou,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Ilava,Myjava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Nové Mesto nad Váhom, Považská Bystrica, Púchov, Trenčín, Banská Bystrica, Brezno,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Detva,Zvolen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Bytča, Čadca, Kysucké Nové Mesto, Žilina.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 </w:t>
            </w:r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v územných obvodoch mimo vyššie menovaných okresov postupujú v zmysle 21 vyhlášky. V prípade, ak sa na osobu nevzťahuje výnimka (sú vymenované priamo vo vyhláške), preukazujú sa certifikátom s negatívnym výsledkom antigénového testu vykonaným od 29. októbra do 1. novembra 2020.</w:t>
            </w:r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 oboch vyhlášok vo všeobecnosti vyplýva, že všetci prevádzkovatelia zariadení a zamestnávatelia sú oprávnení požadovať od osoby vstupujúcej do priestorov prevádzky a na pracovisko predloženie dokladu o negatívnom výsledku testu na COVID-19 resp. negatívnom výsledku PCR testu za obdobie, ktoré stanovuje vyhláška príslušná pre okres, v ktorom sa osoba nachádza. Rovnako je možné preukázať sa potvrdením o výnimke z disponovania takýmto testom. Výnimky sú podrobne zverejnené vo vyhláške. Ak osoby takéto doklady nemajú, prevádzkovatelia i zamestnávatelia sú povinní im vstup do priestorov odoprieť.</w:t>
            </w:r>
          </w:p>
          <w:p w:rsidR="001C1F6F" w:rsidRPr="001C1F6F" w:rsidRDefault="001C1F6F" w:rsidP="001C1F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br/>
              <w:t>Na bezpečnosť a ochranu zdravia pri práci je potrebné dbať v maximálnej miere aj za bežných dní. Počas aktuálnej vážnej epidemiologickej situácie to musí platiť o to viac. Skúsenosti našich epidemiológov z terénu hovoria jasne: COVID-19 sa šíri nielen medzi kolegami v malých firmách, ale aj vo veľkých výrobných podnikoch. Pre jeho výskyt na pracoviskách sa následne ľahko zaniesol aj do rodín a ochorenie sa začalo medzi príbuznými reťazovo šíriť. Vydaním vyhlášky sa snažíme predchádzať takýmto situáciám a aj týmto krokom chceme šírenie COVID-19 spomaliť a chrániť zdravie nás všetkých. Samozrejme, stále je dôležité, napriek negatívnemu výsledku testu, dbať na pracoviskách a v prevádzkach na dodržiavanie hygienického štandardu a dezinfekciu priestorov. Aktuálna situácia nenasvedčuje tomu, aby sme mohli v dodržiavaní protiepidemických opatrení poľaviť.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br/>
              <w:t>Rúška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Znenie vyhlášky </w:t>
            </w:r>
            <w:hyperlink r:id="rId24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Platí zákaz pohybovať sa v interiéroch budov (s výnimkou vlastnej domácnosti), prostriedkoch hromadnej dopravy a na verejnosti v exteriéroch bez prekrytia horných dýchacích ciest.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Ústa aj nos musia byť prekryté rúškom, respirátorom bez výdychového ventilu, šálom, či šatkou.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Výnimku z nosenia rúška majú </w:t>
            </w: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iba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: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detí do 6 rokov veku, (pre deti od 3 do 6 rokov však platí dôrazné odporúčanie, aby mali v interiéri, exteriéri mimo intravilánu obce a prostriedkoch hromadnej dopravy prekryté horné dýchacie cesty)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v exteriéroch mimo zastavaného územia (intravilánu) obce, pokiaľ sú od ostatných osôb, s ktorými nežijú v jednej domácnosti, vzdialené viac ako 5 metrov,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so závažnými poruchami autistického spektra,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so stredným a ťažkým mentálnym alebo sluchovým postihnutím,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pri výkone športu,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fotografované osoby na čas nevyhnutný pre výkon procesu fotografovania,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nevesty a ženícha pri sobáši,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výkonní umelci pri podávaní umeleckého výkonu a účinkujúci pri nakrúcaní dokumentárneho filmu,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tlmočníci do posunkovej reči v rámci výkonu povolania,</w:t>
            </w:r>
          </w:p>
          <w:p w:rsidR="001C1F6F" w:rsidRPr="001C1F6F" w:rsidRDefault="001C1F6F" w:rsidP="001C1F6F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zamestnanec, ktorý sa nachádza na pracovisku v interiéri sám.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Ďalšie užitočné informácie o nosení rúšok </w:t>
            </w:r>
            <w:hyperlink r:id="rId25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Ako má vyzerať domáca izolácia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(poznámka : Izolácia v domácom prostredí sa nariaďuje pozitívne testovaným osobám. Na osoby, ktoré sa rozhodnú nezúčastniť plošného testovania, sa nižšie uvedené pravidlá nevzťahujú. Takéto osoby sa majú riadiť pravidlami zverejnenými v uznesení vlády SR: </w:t>
            </w:r>
            <w:hyperlink r:id="rId26" w:history="1">
              <w:r w:rsidRPr="001C1F6F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u w:val="single"/>
                  <w:lang w:eastAsia="sk-SK"/>
                </w:rPr>
                <w:t>https://rokovania.gov.sk/RVL/Resolution/18844/1</w:t>
              </w:r>
            </w:hyperlink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)</w:t>
            </w:r>
            <w:r w:rsidRPr="001C1F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 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Počas domácej izolácie neopúšťajte miesto vášho pobytu. Obmedzte kontakty s inými osobami a neprijímajte návštevy.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domáca izolácia vykonáva v rodinnom dome, je v poriadku tráviť čas na dvore či v svojej záhrade. V bytovom dome môžete ísť na svoj súkromný balkón.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bytového domu možno rešpektovať nutné a krátke opustenie priestorov – (vyhodiť smeti, prebrať nákup, vyvenčiť psa a podobne) samozrejme, za nutnosti prekrytých horných dýchacích ciest, sociálneho odstupu a dezinfikovania rúk pred opustením bytu. Rovnako je podstatné zdržiavať sa v spoločných priestoroch bytového domu iba na nevyhnutný čas, nepoužívať výťah. Na opustenie bytového domu však treba mať relevantný dôvod, pretože v prípade nahlásenia porušenia karantény je otázne dokazovanie, že to bolo nevyhnutné opustenie miesta izolácie.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Nákupy si zorganizujte s pomocou priateľov, rodiny či blízkych a poproste ich, aby vám ich nechali pred dverami alebo na inom určenom mieste, prípadne, ak sa dá, využite službu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dovozu potravín do domácnosti, resp. služby samospráv.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Medzi základné preventívne opatrenia voči vírusovému ochoreniu patrí najmä dôsledné umývanie rúk dezinfekčným mydlom a časté, nárazové vetranie miestností. Kľučky, povrchy a predmety, ktoré bežne používate, dezinfikujte častejšie prípravkami s obsahom chlóru alebo alkoholu. Používajte jednorazové papierové a vlhčené utierky.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Každý člen rodiny má mať svoj vlastný uterák. Rovnako vlastný tanier, poháre či príbor, po použití je ich potrebné umyť v umývačke riadu alebo umyť ručne v teplej vode s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detergentom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Ideálnym riešením pre pozitívne testovaného člena rodiny je samostatná izba. Ak to nie je možné, izbu by nemal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zdieľať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 rizikovými osobami (starší ľudia, osoby s chronickými ochoreniami a oslabenou imunitou). </w:t>
            </w:r>
          </w:p>
          <w:p w:rsidR="001C1F6F" w:rsidRPr="001C1F6F" w:rsidRDefault="001C1F6F" w:rsidP="001C1F6F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Kontakt s inými členmi domácnosti by mal byť minimálny. Kúpeľňu by pozitívne testovaný mal používať ako posledný, následne ju umyť a dezinfikovať. V blízkosti iných ľudí treba nosiť rúško, pri kýchaní, kašľaní a smrkaní používať jednorazové papierové vreckovky, ktoré hneď po použití treba zahodiť do bezkontaktného odpadkového kaša a umyť si ruky mydlom a vodou (najmenej 20 sekúnd), použiť alkoholový dezinfekčný prostriedok na ruky.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Podrobnejší všeobecný návod ako postupovať v prípade že ste pozitívny na COVID-19 </w:t>
            </w:r>
            <w:hyperlink r:id="rId27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Podrobnejší všeobecný postup v prípade, že ste boli v kontakte s COVID-19 </w:t>
            </w:r>
            <w:hyperlink r:id="rId28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Karanténa - hranice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Podrobnosti o režime na hraniciach </w:t>
            </w:r>
            <w:hyperlink r:id="rId29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 zozname menej rizikových krajín sa nachádzajú: Austrália, Bulharsko, Cyprus, Čína, Dánsko, Estónsko, Fínsko, Grécko, Írsko, Island, Japonsko, Južná Kórea, Kanada, Lichtenštajnsko, Litva, Lotyšsko, Maďarsko, Monako, Nemecko, Nórsko, Nový Zéland, Poľsko, Rakúsko, San Maríno, Slovinsko, Veľká Británia a Severné Írsko, Švajčiarsko, Švédsko, Taiwan, Taliansko, Vatikán. Znamená to, že ak prídete z týchto krajín, nevzťahuje sa na vás povinnosť domácej izolácie, ani testovania na COVID-19.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Osoby, ktoré prídu na Slovensko z rizikových krajín EÚ, sú povinné ísť buď do domácej izolácie do času negatívneho výsledku RT-PCR testu, ktorý je potrebné absolvovať najskôr na 5. deň izolácie, alebo sa po príchode musia preukázať negatívnym RT-PCR testom nie starším ako 72 hodín v laboratóriách mimo územia SR. V prípade, že sa osoba nachádza v izolácii, nemá príznaky ochorenia a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neobdrží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výsledky testu, izolácia  sa končí dňom dovŕšenia jej 10. dňa. Osoby, ktoré nebudú mať test, sa musia po príchode registrovať na </w:t>
            </w:r>
            <w:hyperlink r:id="rId30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http://korona.gov.sk/ehranica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musia byť schopné preukázať sa potvrdením o registrácii príslušníkom policajného zboru.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Osoby, ktoré prídu na Slovensko z rizikových krajín mimo EÚ sú povinné ísť do domácej izolácie do negatívneho výsledku RT-PCR testu, ktorý je potrebné absolvovať najskôr na 5. deň izolácie, a rovnako sa musia sa zaregistrovať na webe </w:t>
            </w:r>
            <w:hyperlink r:id="rId31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http://korona.gov.sk/ehranica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Zároveň musia byť schopné preukázať sa potvrdením o registrácii príslušníkom policajného zboru.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Všetky osoby, ktoré vstupujú na územie Slovenskej republiky spôsobom medzinárodnej leteckej dopravy a zároveň počas posledných 14 dní navštívili rizikovú krajinu, sú povinné registrovať sa na </w:t>
            </w:r>
            <w:hyperlink r:id="rId32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http://korona.gov.sk/ehranica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 a po prílete sa pri kontrole touto registráciou preukázať. 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Osoby prichádzajúce na územie SR pozemnou hranicou s Ukrajinou budú musieť od 9. novembra podstúpiť antigénové testovanie na hranici. 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Režim na hraniciach s Českou republikou: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Pre Českú republiku platí režim červených krajín EÚ, existuje však viacero výnimiek z izolácie a predloženia negatívneho RT-PCR testu:</w:t>
            </w:r>
          </w:p>
          <w:p w:rsidR="001C1F6F" w:rsidRPr="001C1F6F" w:rsidRDefault="001C1F6F" w:rsidP="001C1F6F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 s trvalým alebo prechodným pobytom v SR, ktorí v Českej republike navštevujú alebo sa uchádzajú o navštevovanie alebo štúdium na materskej, základnej, strednej alebo vysokej škole v Českej republike, pri vstupe na územie SR sa musia preukázať príslušným potvrdením (napr. potvrdenie  o štúdiu, pozvánka na prijímacie/záverečné skúšky, zápis do školy), v ktorom je uvedené, že ide o prezenčnú formu štúdia; výnimka sa vzťahuje aj na jednu sprevádzajúcu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osobu, ktorá musí predložiť čestné vyhlásenie</w:t>
            </w:r>
          </w:p>
          <w:p w:rsidR="001C1F6F" w:rsidRPr="001C1F6F" w:rsidRDefault="001C1F6F" w:rsidP="001C1F6F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v Českej republike, ktorí na Slovensku navštevujú alebo sa uchádzajú o navštevovanie alebo štúdium na materskej, základnej, strednej alebo vysokej škole v SR, pri vstupe na územie SR sa musia preukázať príslušným potvrdením (napr. potvrdenie  o štúdiu, pozvánka na prijímacie/záverečné skúšky, zápis do školy), v ktorom je uvedené, že ide o prezenčnú formu štúdia; výnimka sa vzťahuje aj na jednu sprevádzajúcu osobu, ktorá musí predložiť čestné vyhlásenie</w:t>
            </w:r>
          </w:p>
          <w:p w:rsidR="001C1F6F" w:rsidRPr="001C1F6F" w:rsidRDefault="001C1F6F" w:rsidP="001C1F6F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to isté platí aj pre žiakov a študentov základnej, strednej alebo vysokej školy (denné štúdium) mladších ako 26 rokov s trvalým alebo prechodným pobytom v SR,  ktorí sa zúčastňujú sa tréningov ako riadni členovia športového klubu v Českej republike; pri vstupe na územie SR sa musia preukázať napríklad potvrdením o členstve v klube; výnimka sa vzťahuje aj na jednu sprevádzajúcu osobu, ktorá musí predložiť čestné vyhlásenie</w:t>
            </w:r>
          </w:p>
          <w:p w:rsidR="001C1F6F" w:rsidRPr="001C1F6F" w:rsidRDefault="001C1F6F" w:rsidP="001C1F6F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v SR, ktoré obhospodarujú pozemky na území Českej republiky do vzdialenosti 10 km od štátnej hranice SR a naopak. Tieto osoby musia byť schopné sa preukázať hodnoverným dokladom (napr. list vlastníctva, zmluva o nájme poľnohospodárskej pôdy).</w:t>
            </w:r>
          </w:p>
          <w:p w:rsidR="001C1F6F" w:rsidRPr="001C1F6F" w:rsidRDefault="001C1F6F" w:rsidP="001C1F6F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osoby, ktoré účinkujú alebo sa inak podieľajú na cezhraničnej audiovizuálnej, televíznej, divadelnej alebo inej umeleckej produkcii, ktoré v rámci toho vstupujú na územie SR z Českej republiky, alebo sa na územie SR vracajú z ČR; presná špecifikácia je uvedená </w:t>
            </w:r>
            <w:hyperlink r:id="rId33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vo vyhláške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Praktické informácie a kontakty na regionálne úrady verejného zdravotníctva v SR </w:t>
            </w:r>
            <w:hyperlink r:id="rId34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Výnimky z povinnej izolácie alebo predloženia negatívneho RT-PCR testu nie staršieho ako 72 hodín sa týkajú: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ktoré prišli z menej rizikových krajín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pendlerov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ktorí žijú v susedných štátoch a pracujú na Slovensku, a občanov Slovenska s trvalým pobytom v prihraničných oblastiach do 30 kilometrov od otvoreného hraničného priechodu na územie SR.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 s trvalým alebo prechodným pobytom na Slovensku, ktoré majú na území susedného štátu pracovný pomer alebo miesto výkonu práce, musia však vedieť túto skutočnosť preukázať (neplatí 30-kilometrový limit)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ktoré majú trvalý alebo prechodný pobyt na Slovensku a poskytujú neodkladnú starostlivosť príbuznému na území susedného štátu, resp. osôb s trvalým alebo prechodným pobytom na území susedného štátu, ktoré sa starajú o príbuzného na Slovensku; musia sa preukázať potvrdením o neodkladnej starostlivosti od lekára  blízkeho  rodinného príslušníka  a čestným prehlásením o rodinnom vzťahu - tieto dokumenty musia byť preložené  do  slovenského jazyka; výnimka sa vzťahuje aj na jednu sprevádzajúcu osobu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pracovníkov v dopravných službách (bližšie vyšpecifikované v paragrafe 4 uvedenej vyhlášky)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vodičov a posádky zdravotnej služby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zamestnancov pohrebných služieb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zamestnancov prevádzkovateľov prvkov kritickej infraštruktúry v sektore energetika a priemysel, ktorí nepretržitým spôsobom zabezpečujú strategicky a životne dôležité funkcie chodu štátu,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po odsúhlasení ministerstvom zdravotníctva, ktoré prichádzajú na Slovensko a odchádzajú z neho za účelom zabezpečenia neodkladnej diagnostiky a liečby protokolárnej prevencie a liečby, a pokračujúcej liečby zdravotných stavov svojich, alebo osôb im blízkym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viacero výnimiek sa vzťahuje aj na tranzit osôb – občania EÚ môžu prejsť bez zastavenia (s výnimkou nevyhnutného dočerpania pohonných látok) územím Slovenska do svojej domovskej krajiny alebo do iného štátu EÚ; občania tretích krajín takisto môžu prejsť územím SR do štátu EÚ, v ktorom majú trvalý alebo prechodný pobyt (ďalšie výnimky pri tranzite sú bližšie vyšpecifikované v paragrafe 4 uvedenej vyhlášky)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základe súhlasu Ministerstva vnútra SR majú výnimku aj osoby, ktoré vstupujú na územie SR na základe žiadosti súdu alebo orgánov činných v trestnom konaní,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štátnych a verejných zamestnancov vyslaných na plnenie úloh vyplývajúcich zo zastupovania SR v medzinárodnej organizácii alebo medzinárodného vojenského zastupiteľstva, ktorí vstupujú na územie SR počas a po skončení vyslania v cudzine, spolu s ich rodinnými príslušníkmi,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 požívajúce na území SR diplomatické výsady a imunity,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 odsúhlasení Ministerstvom zahraničných vecí a európskych záležitostí SR zamestnancov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medzinárodných organizácií, medzinárodných finančných inštitúcií a inštitúcií Európskej únie, ktorí pracujú na území SR, a ich rodinných príslušníkov,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slovenských poslancov Európskeho parlamentu a ich rodinných príslušníkov,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 vyslaných na zastupiteľský úrad SR, ktoré vstupujú na územie Slovenskej republiky počas a po skončení vyslania v cudzine, spolu s ich rodinnými príslušníkmi,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ktoré vstupujú na územie SR pre vykonávanie striedavej starostlivosti rodičov o maloleté dieťa, prípadne práva styku s maloletým dieťaťom. Pri vstupe na územie SR sú povinní sa preukázať právoplatným rozhodnutím súdu alebo rodičovskou dohodou a zároveň informovať Ministerstvo práce, sociálnych vecí a rodiny Slovenskej republiky (Centrum pre medzinárodnoprávnu ochranu detí a mládeže) o zámere vstupu na územie SR</w:t>
            </w:r>
          </w:p>
          <w:p w:rsidR="001C1F6F" w:rsidRPr="001C1F6F" w:rsidRDefault="001C1F6F" w:rsidP="001C1F6F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odsúhlasení Ministerstvom pôdohospodárstva a rozvoja vidieka  SR osôb zabezpečujúcich servis  a  údržbu  poľnohospodárskej  a lesnej techniky, posádky poľnohospodárskej  a lesnej techniky  a ich sprievod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Všetky osoby, ktoré využijú niektorú z týchto výnimiek, sú povinné sledovať svoj zdravotný stav a v prípade akýchkoľvek príznakov respiračného ochorenia musia o tom telefonicky informovať svojho ošetrujúceho lekára. Ak ho na Slovensku nemajú, musia telefonicky kontaktovať linku tiesňového volania 112.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br/>
              <w:t>Prevádzky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Vyhlášku k činnosti prevádzok a organizácii hromadných podujatí </w:t>
            </w:r>
            <w:hyperlink r:id="rId35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Do odvolania sa prevádzkovateľom predajní potravín a predajní drogérií nariaďuje umožniť v dňoch pondelok až piatok v čase od 9:00 do 11:00 vstup iba osobám nad 65 rokov.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Do odvolania uzatvárajú nasledovné zariadenia: prírodné a umelé kúpaliská vrátane akvaparkov, prevádzky poskytujúce služby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wellnes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(sauny, vírivky, kúpele, zábaly), fitness centrá, prevádzky divadelných, hudobných, filmových alebo iných umeleckých predstavení (kiná, divadlá...) a prevádzky verejného stravovania.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Neplatí to pre:</w:t>
            </w:r>
          </w:p>
          <w:p w:rsidR="001C1F6F" w:rsidRPr="001C1F6F" w:rsidRDefault="001C1F6F" w:rsidP="001C1F6F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Prírodné liečebné kúpele alebo kúpeľné liečebne na základe návrhu lekára,</w:t>
            </w:r>
          </w:p>
          <w:p w:rsidR="001C1F6F" w:rsidRPr="001C1F6F" w:rsidRDefault="001C1F6F" w:rsidP="001C1F6F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verejného stravovania pri dodržaní podmienok.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Prevádzkovatelia musia zabezpečiť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pobyt v prevádzke (vo vonkajších aj vnútorných priestoroch) umožniť len osobám s prekrytými hornými dýchacími cestami (rúško, respirátor bez výdychového ventilu, šál, šatka); táto povinnosť sa nevzťahuje na čas potrebný na konzumáciu nápojov a pokrmov,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vchode do prevádzky aplikovať vstupujúcim osobám dezinfekciu na ruky alebo poskytnúť jednorazové rukavice,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všetky vstupy do prevádzky viditeľne umiestniť  oznam o povinnosti dodržiavať vyššie uvedené hygienické opatrenia,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potravinárske predajne, prevádzky zariadení spoločného  stravovania, vrátane stánkov s rýchlym občerstvením a iným ambulantným predajom potravín, pokrmov a nápojov musia zabezpečiť pravidelné a účinné čistenie a dezinfekciu, ktoré sa musí  vykonávať  dôkladne v rámci denného sanitačného režimu prevádzky a v rámci prijatých  a zavedených zásad správnej hygienickej praxe podľa nariadenia Európskeho Parlamentu a Rady  č. 852/2004  o hygiene potravín,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zachovávanie odstupov v radoch osôb minimálne 2 metre, to neplatí pre osoby žijúce v spoločnej domácnosti,</w:t>
            </w:r>
          </w:p>
          <w:p w:rsidR="001C1F6F" w:rsidRPr="001C1F6F" w:rsidRDefault="001C1F6F" w:rsidP="001C1F6F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počet zákazníkov v prevádzke v jednom okamihu nesmie prekročiť koncentráciu jeden zákazník na 15 m2 z predajnej plochy prevádzky určenej pre zákazníkov, táto podmienka sa nevzťahuje na deti do 14 rokov v sprievode dospelej osoby; táto podmienka taktiež neplatí pre exteriérové časti prevádzok verejného stravovania, pokiaľ je prevádzkovateľ schopný zabezpečiť a dodržať odstup 2 metre medzi stolmi. Pokiaľ plocha prevádzky určená pre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zákazníkov nedosahuje 15 m2, v prevádzke sa v jednom okamihu môže nachádzať najviac jeden zákazník (so zachovaním výnimky pre deti)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Prevádzky obchodných domov sú súčasne povinné:</w:t>
            </w:r>
          </w:p>
          <w:p w:rsidR="001C1F6F" w:rsidRPr="001C1F6F" w:rsidRDefault="001C1F6F" w:rsidP="001C1F6F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prevádzky tekutým mydlom a papierovými utierkami,</w:t>
            </w:r>
          </w:p>
          <w:p w:rsidR="001C1F6F" w:rsidRPr="001C1F6F" w:rsidRDefault="001C1F6F" w:rsidP="001C1F6F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 priestorov obchodného domu umožniť vstup iba osobe s telesnou teplotou najviac 37 °C,</w:t>
            </w:r>
          </w:p>
          <w:p w:rsidR="001C1F6F" w:rsidRPr="001C1F6F" w:rsidRDefault="001C1F6F" w:rsidP="001C1F6F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 zákazníkov v obchodnom dome v jednom okamihu nesmie prekročiť koncentráciu jeden zákazník na 15 m2 z predajnej plochy všetkých prevádzok v obchodnom dome určenej pre zákazníkov. Do tejto plochy sa nezapočítavajú spoločné priestory v obchodnom dome. Táto podmienka sa nevzťahuje na deti do 14 rokov v sprievode dospelej osoby.</w:t>
            </w:r>
          </w:p>
          <w:p w:rsidR="001C1F6F" w:rsidRPr="001C1F6F" w:rsidRDefault="001C1F6F" w:rsidP="001C1F6F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1C1F6F" w:rsidRPr="001C1F6F" w:rsidRDefault="001C1F6F" w:rsidP="001C1F6F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verejného stravovania sú povinné podávať pokrmy a nápoje v zabalenom stave; zakazuje sa konzumovať pokrmy a nápoje v priestoroch obchodného domu.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Prevádzky verejného stravovania (reštaurácie, kaviarne, bary,...)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otváracie hodiny obmedziť do 22:00 s výnimkou donáškových služieb alebo výdaja pokrmov cez okienko,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pokrmy a nápoje musia podávať zabalené pre odber so sebou, s výnimkou podávania pokrmov a nápojov v exteriérových častiach prevádzky,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pokrmy a nápoje nie je možné konzumovať v interiérových častiach prevádzky,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stolov a dotykových plôch po každom zákazníkovi (vrátane  úchopových častí stoličiek a kresiel),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používa stolový riad (taniere, príbory, poháre) je potrebné zabezpečiť jeho umývanie podľa požiadaviek uvedených v § 9 ods. 4. písm. g) vyhlášky MZ SR č. 533/2007 Z. z.;  pri ručnom umývaní kuchynského riadu sa odporúča pridať pred opláchnutím kuchynského riadu dezinfekčný prostriedok vhodný na daný účel,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obsluhujúci personál je povinný používať tvárové rúška a medzi obsluhou jednotlivých stolov vykonávať dezinfekciu rúk,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príbor nesmie byť voľne dostupný pre zákazníkov na stoloch, ale musí byť prinesený personálom k pokrmu zabalený do papierovej servítky,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konzumáciu pokrmov alebo nápojov umožniť vykonávať výlučne posediačky, s cieľom zabezpečiť kontrolovaný rozostup osôb,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1C1F6F" w:rsidRPr="001C1F6F" w:rsidRDefault="001C1F6F" w:rsidP="001C1F6F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každú hodinu vykonávať dezinfekciu hygienických zariadení.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Taxislužby</w:t>
            </w:r>
          </w:p>
          <w:p w:rsidR="001C1F6F" w:rsidRPr="001C1F6F" w:rsidRDefault="001C1F6F" w:rsidP="001C1F6F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 musí mať vhodným spôsobom prekryté horné dýchacie cesty (rúško, respirátor bez výdychového ventilu šál, šatka),</w:t>
            </w:r>
          </w:p>
          <w:p w:rsidR="001C1F6F" w:rsidRPr="001C1F6F" w:rsidRDefault="001C1F6F" w:rsidP="001C1F6F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cestujúcim sa odporúča sedieť na zadných sedadlách,</w:t>
            </w:r>
          </w:p>
          <w:p w:rsidR="001C1F6F" w:rsidRPr="001C1F6F" w:rsidRDefault="001C1F6F" w:rsidP="001C1F6F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odporúčame zabezpečiť vhodné oddelenie priestorov vodiča od priestoru pre pasažiera, zabraňujúce voľnému prieniku aerosólu medzi týmito priestormi,</w:t>
            </w:r>
          </w:p>
          <w:p w:rsidR="001C1F6F" w:rsidRPr="001C1F6F" w:rsidRDefault="001C1F6F" w:rsidP="001C1F6F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vykonať dezinfekciu priestorov pre zákazníkov a to po každom zákazníkovi dezinfekčným prostriedkom s virucídnym účinkom.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Zariadenia starostlivosti o ľudské telo (napríklad kaderníctva, holičstvá)</w:t>
            </w:r>
          </w:p>
          <w:p w:rsidR="001C1F6F" w:rsidRPr="001C1F6F" w:rsidRDefault="001C1F6F" w:rsidP="001C1F6F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zamestnanci musia mať vhodným spôsobom prekryté horné dýchacie cesty (rúško, respirátor bez výdychového ventilu, šál, šatka),</w:t>
            </w:r>
          </w:p>
          <w:p w:rsidR="001C1F6F" w:rsidRPr="001C1F6F" w:rsidRDefault="001C1F6F" w:rsidP="001C1F6F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upraviť časový harmonogram prevádzky tak, aby medzi jednotlivými zákazníkmi bol vždy priestor na upratanie a dezinfekciu pracovného miesta (pracovné stoly, kreslá, umývadlá, vanička na nohy),</w:t>
            </w:r>
          </w:p>
          <w:p w:rsidR="001C1F6F" w:rsidRPr="001C1F6F" w:rsidRDefault="001C1F6F" w:rsidP="001C1F6F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vykonávať dezinfekciu dezinfekčným prostriedkom s virucídnym účinkom,</w:t>
            </w:r>
          </w:p>
          <w:p w:rsidR="001C1F6F" w:rsidRPr="001C1F6F" w:rsidRDefault="001C1F6F" w:rsidP="001C1F6F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1C1F6F" w:rsidRPr="001C1F6F" w:rsidRDefault="001C1F6F" w:rsidP="001C1F6F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ochrana dýchacích ciest zákazníkov sa v nevyhnutnom čase nemusí použiť pri úkonoch ktoré to neumožňujú (ošetrenie tváre, strihanie, umývanie vlasov).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Autoškoly</w:t>
            </w:r>
          </w:p>
          <w:p w:rsidR="001C1F6F" w:rsidRPr="001C1F6F" w:rsidRDefault="001C1F6F" w:rsidP="001C1F6F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 a inštruktor musia mať vhodným spôsobom prekryté horné dýchacie cesty (rúško, respirátor bez výdychového ventilu, šál, šatka),</w:t>
            </w:r>
          </w:p>
          <w:p w:rsidR="001C1F6F" w:rsidRPr="001C1F6F" w:rsidRDefault="001C1F6F" w:rsidP="001C1F6F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po každom výcviku vedenia vozidla a výcviku na trenažéri, musí byť interiér vozidla, najmä volant a rýchlostná páka, vydezinfikovaný dezinfekčným prostriedkom,</w:t>
            </w:r>
          </w:p>
          <w:p w:rsidR="001C1F6F" w:rsidRPr="001C1F6F" w:rsidRDefault="001C1F6F" w:rsidP="001C1F6F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Hromadné podujatia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Vyhlášku, ktorá sa zoberá organizáciou hromadných podujatí </w:t>
            </w:r>
            <w:hyperlink r:id="rId36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Do odvolania sa všetkým fyzickým osobám, fyzickým osobám – podnikateľom a právnickým osobám zakazuje usporadúvať hromadné podujatia športovej, kultúrnej, zábavnej, spoločenskej či inej povahy v jednom okamihu v počte nad 6 osôb.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Hromadné podujatia 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jednorazovej povahy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budú môcť konať v počte nad 6 osôb v jednom okamihu iba za predpokladu, že všetci účastníci budú v čase hromadného podujatia disponovať negatívnym výsledkom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 xml:space="preserve"> RT-PCR testu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nie starším ako 12 hodín a budú ohlásené na miestne príslušnom regionálnom úrade verejného zdravotníctva najneskôr 48 hodín pred jeho začiatkom, pričom je potrebné uviesť presný čas a miesto konania.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Všetky hromadné podujatia športového charakteru sa musia uskutočniť bez prítomnosti obecenstva.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Pri usporadúvaní hromadných podujatí je potrebné dodržiavať nasledovné povinnosti: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pobyt v mieste hromadného podujatia umožniť len s prekrytými hornými dýchacími cestami (rúško, respirátor bez výdychového ventilu, šál alebo šatka),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zakazuje sa podávať alebo konzumovať pokrmy alebo nápoje,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hlavne dotykových plôch, kľučiek podláh a  predmetov,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musia byť vybavené tekutým mydlom a papierovými utierkami,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zaistiť pri vstupe do priestorov hromadného podujatia dávkovače na alkoholovú dezinfekciu rúk a dezinfikovať si ruky, resp. zabezpečiť iný adekvátny spôsob dezinfekcie rúk,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priestorov hromadného podujatia oznam o povinnosti, že v prípade vzniku akútneho respiračného ochorenia (napr. horúčka, kašeľ, nádcha, sťažené dýchanie) je osoba povinná zostať v domácej izolácii,</w:t>
            </w:r>
          </w:p>
          <w:p w:rsidR="001C1F6F" w:rsidRPr="001C1F6F" w:rsidRDefault="001C1F6F" w:rsidP="001C1F6F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zverejniť na viditeľnom mieste oznam s informáciou:</w:t>
            </w:r>
          </w:p>
          <w:p w:rsidR="001C1F6F" w:rsidRPr="001C1F6F" w:rsidRDefault="001C1F6F" w:rsidP="001C1F6F">
            <w:pPr>
              <w:spacing w:after="0" w:line="240" w:lineRule="auto"/>
              <w:ind w:left="720" w:hanging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-     ak sa u osoby prejavia príznaky akútneho respiračného ochorenia, je potrebné telefonicky kontaktovať svojho ošetrujúceho lekára a opustiť miesto hromadného podujatia,</w:t>
            </w:r>
          </w:p>
          <w:p w:rsidR="001C1F6F" w:rsidRPr="001C1F6F" w:rsidRDefault="001C1F6F" w:rsidP="001C1F6F">
            <w:pPr>
              <w:spacing w:after="0" w:line="240" w:lineRule="auto"/>
              <w:ind w:left="720" w:hanging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-     zákaz podávania rúk,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účasti na verejnom hromadnom podujatí a pri príchode a odchode z priestorov hromadného podujatia zabezpečiť dodržiavanie rozostupov 2 metre medzi osobami, to neplatí pre osoby žijúce v spoločnej domácnosti, partnerov, osoby vykonávajúce športovú činnosť, umelcov vykonávajúcich umeleckú činnosť, osoby usadené v hľadisku podujatia, osoby školiace voči osobám školeným, a iné osoby, ak z účelu hromadného podujatia vyplýva, že tento rozostup medzi zúčastnenými osobami nie je možné dodržať,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sedenia sa odporúča zabezpečiť sedenie tak, že medzi obsadenými miestami  ostane  jedno miesto neobsadené, pričom sekvenciu obsadenia sedadiel odporúčame v radoch alternovať, alebo tak, že je zabezpečené sedenie v každom druhom rade, uvedené sa nevzťahuje na osoby žijúce v spoločnej domácnosti,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sedenia na hromadných podujatiach športového charakteru je organizátor povinný zabezpečiť sedenie obecenstva len v každom druhom rade,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dostatočné vetranie priestorov,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organizátor musí byť v každej chvíli schopný preukázať počet osôb aktuálne sa zúčastňujúcich na hromadnom podujatí,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podmienky sa príslušne aplikujú aj na hromadné podujatia organizované v exteriéri,</w:t>
            </w:r>
          </w:p>
          <w:p w:rsidR="001C1F6F" w:rsidRPr="001C1F6F" w:rsidRDefault="001C1F6F" w:rsidP="001C1F6F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hromadných podujatí organizovaných v exteriéri je organizátor povinný vyhradiť priestor hromadného podujatia a vyznačiť jeho vstup a výstup.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Zákaz sa nevzťahuje na nasledovné typy hromadných podujatí:</w:t>
            </w:r>
          </w:p>
          <w:p w:rsidR="001C1F6F" w:rsidRPr="001C1F6F" w:rsidRDefault="001C1F6F" w:rsidP="001C1F6F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obrad krstu, pohrebného obradu a sobášneho obradu, vrátane ich civilných verzií,</w:t>
            </w:r>
          </w:p>
          <w:p w:rsidR="001C1F6F" w:rsidRPr="001C1F6F" w:rsidRDefault="001C1F6F" w:rsidP="001C1F6F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zasadnutia, schôdze orgánov verejnej moci a ich poradných orgánov,</w:t>
            </w:r>
          </w:p>
          <w:p w:rsidR="001C1F6F" w:rsidRPr="001C1F6F" w:rsidRDefault="001C1F6F" w:rsidP="001C1F6F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zasadnutia, schôdze a iné podujatia, ktoré sa uskutočňujú na základe zákona,</w:t>
            </w:r>
          </w:p>
          <w:p w:rsidR="001C1F6F" w:rsidRPr="001C1F6F" w:rsidRDefault="001C1F6F" w:rsidP="001C1F6F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voľby,</w:t>
            </w:r>
          </w:p>
          <w:p w:rsidR="001C1F6F" w:rsidRPr="001C1F6F" w:rsidRDefault="001C1F6F" w:rsidP="001C1F6F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celoplošné antigénové testovanie na COVID-19, </w:t>
            </w:r>
          </w:p>
          <w:p w:rsidR="001C1F6F" w:rsidRPr="001C1F6F" w:rsidRDefault="001C1F6F" w:rsidP="001C1F6F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výkon hromadných podujatí nevyhnutných s priebehom nasledujúcich profesionálnych súťaží vo vybraných športoch:</w:t>
            </w:r>
          </w:p>
          <w:p w:rsidR="001C1F6F" w:rsidRPr="001C1F6F" w:rsidRDefault="001C1F6F" w:rsidP="001C1F6F">
            <w:pPr>
              <w:numPr>
                <w:ilvl w:val="0"/>
                <w:numId w:val="1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hokej: TIPOS extraliga (hokej - muži), ICE HOCKEY LEAGUE (hokej – muži),</w:t>
            </w:r>
          </w:p>
          <w:p w:rsidR="001C1F6F" w:rsidRPr="001C1F6F" w:rsidRDefault="001C1F6F" w:rsidP="001C1F6F">
            <w:pPr>
              <w:numPr>
                <w:ilvl w:val="0"/>
                <w:numId w:val="1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futbal: FORTUNA Liga (futbal - muži),</w:t>
            </w:r>
          </w:p>
          <w:p w:rsidR="001C1F6F" w:rsidRPr="001C1F6F" w:rsidRDefault="001C1F6F" w:rsidP="001C1F6F">
            <w:pPr>
              <w:numPr>
                <w:ilvl w:val="0"/>
                <w:numId w:val="1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hádzaná: SLOVNAFT </w:t>
            </w:r>
            <w:proofErr w:type="spellStart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Handball</w:t>
            </w:r>
            <w:proofErr w:type="spellEnd"/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Extraliga (hádzaná - muži), MOL Liga (hádzaná – ženy),</w:t>
            </w:r>
          </w:p>
          <w:p w:rsidR="001C1F6F" w:rsidRPr="001C1F6F" w:rsidRDefault="001C1F6F" w:rsidP="001C1F6F">
            <w:pPr>
              <w:numPr>
                <w:ilvl w:val="0"/>
                <w:numId w:val="1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volejbal: Extraliga muži (volejbal), Extraliga ženy (volejbal),</w:t>
            </w:r>
          </w:p>
          <w:p w:rsidR="001C1F6F" w:rsidRPr="001C1F6F" w:rsidRDefault="001C1F6F" w:rsidP="001C1F6F">
            <w:pPr>
              <w:numPr>
                <w:ilvl w:val="0"/>
                <w:numId w:val="1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basketbal: Slovenská basketbalová liga (muži – basketbal),  Extraliga ženy (basketbal - ženy).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Uvedené súťaže musia prebiehať bez prítomnosti obecenstva. Protiepidemické podmienky, za ktorých musia tieto súťaže prebiehať, sa nachádzajú </w:t>
            </w:r>
            <w:hyperlink r:id="rId37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v manuáli, ktorý uverejnil Úrad verejného zdravotníctva SR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Na tieto hromadné podujatia sa 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nevzťahuje výnimka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podľa ktorej by sa ich mohli zúčastniť osoby s negatívnym testom nie starším ako 12 hodín. Platí tu úplný zákaz účasti obecenstva.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Deti a mládež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Podrobnosti o podmienkach prevádzky detských jasieľ </w:t>
            </w:r>
            <w:hyperlink r:id="rId38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k prevádzke školských stravovacích zariadení </w:t>
            </w:r>
            <w:hyperlink r:id="rId39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Manuál Ministerstva školstva, vedy, výskumu a športu SR pre školy a školské zariadenia </w:t>
            </w:r>
            <w:hyperlink r:id="rId40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SR k realizácii praktického vyučovania žiakov stredných zdravotníckych škôl a praktickej výučby študentov vysokých škôl, uskutočňujúcich odbornú prípravu na výkon zdravotníckeho povolania </w:t>
            </w:r>
            <w:hyperlink r:id="rId41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Zdravotnícke zariadenia a zariadenia sociálnych služieb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 xml:space="preserve">Znenie vyhlášky upravujúce návštevy v týchto zariadeniach </w:t>
            </w:r>
            <w:hyperlink r:id="rId42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br/>
              <w:t>Poskytovatelia zdravotnej starostlivosti</w:t>
            </w: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ktorí poskytujú ústavnú zdravotnú starostlivosť sú povinní zabezpečiť zákaz návštev a jeho dodržiavanie na všetkých lôžkových oddeleniach s výnimkou návštev kňazov za účelom podávania sviatosti pomazania ťažko chorým a umierajúcim a paliatívnych návštev u ťažko chorých a umierajúcich pri zabezpečení dôsledného dodržiavania protiepidemických opatrení.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br/>
              <w:t>Verejní a neverejní poskytovatelia sociálnych služieb</w:t>
            </w: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sú povinní zabezpečiť zákaz návštev a jeho dodržiavanie v interiérových priestoroch pobytových zariadení sociálnej starostlivosti s výnimkou návštev kňazov za účelom podávania sviatosti pomazania ťažko chorým a umierajúcim a paliatívnych návštev u ťažko chorých a umierajúcich pri zabezpečení dôsledného dodržiavania protiepidemických opatrení.</w:t>
            </w: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Regionálne úrady verejného zdravotníctva môžu v rámci svojho územného obvodu z dôvodu zlepšenia epidemiologickej situácie nariadiť miernejšie opatrenia.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Rómske komunity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Plán riešenia COVID-19 v marginalizovaných rómskych komunitách </w:t>
            </w:r>
            <w:hyperlink r:id="rId43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Potravinové prevádzky, podniky a pracoviská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Všeobecné zásady krízového plánu pre potravinárske prevádzky </w:t>
            </w:r>
            <w:hyperlink r:id="rId44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k ochranným a bezpečnostným opatreniam na pracovisku </w:t>
            </w:r>
            <w:hyperlink r:id="rId45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C1F6F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Informácie o ochorení</w:t>
            </w:r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Usmernenie hlavného hygienika SR v súvislosti s ochorením COVID-19 (charakteristika ochorenia, </w:t>
            </w: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definícia osôb v kontakte, kritériá laboratórneho testovania osôb, protiepidemické opatrenia, postupy ukončenia domácej izolácie a pod.) </w:t>
            </w:r>
            <w:hyperlink r:id="rId46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Odporúčané postupy ÚVZ SR pre zber a likvidáciu odpadu vznikajúceho pri testovaní klinických vzoriek rýchlotestami na laboratórnu diagnostiku SARS-Cov-2. </w:t>
            </w:r>
            <w:hyperlink r:id="rId47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Podrobnosti tu.</w:t>
              </w:r>
            </w:hyperlink>
          </w:p>
          <w:p w:rsidR="001C1F6F" w:rsidRPr="001C1F6F" w:rsidRDefault="001C1F6F" w:rsidP="001C1F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SR k operačným a intervenčným výkonom v súvislosti s ochorením COVID-19 počas priaznivej epidemiologickej situácie v SR </w:t>
            </w:r>
            <w:hyperlink r:id="rId48" w:tgtFrame="_blank" w:history="1">
              <w:r w:rsidRPr="001C1F6F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</w:p>
        </w:tc>
      </w:tr>
      <w:tr w:rsidR="001C1F6F" w:rsidRPr="001C1F6F" w:rsidTr="001C1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1F6F" w:rsidRPr="001C1F6F" w:rsidRDefault="001C1F6F" w:rsidP="001C1F6F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1C1F6F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lastRenderedPageBreak/>
              <w:t xml:space="preserve">Posledná úprava Piatok, 06. november 2020 18:28 </w:t>
            </w:r>
          </w:p>
        </w:tc>
      </w:tr>
    </w:tbl>
    <w:p w:rsidR="001C1F6F" w:rsidRDefault="001C1F6F"/>
    <w:sectPr w:rsidR="001C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3D4"/>
    <w:multiLevelType w:val="multilevel"/>
    <w:tmpl w:val="F16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F3B6B"/>
    <w:multiLevelType w:val="multilevel"/>
    <w:tmpl w:val="8A1E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A4E3D"/>
    <w:multiLevelType w:val="multilevel"/>
    <w:tmpl w:val="9F8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E721D"/>
    <w:multiLevelType w:val="multilevel"/>
    <w:tmpl w:val="0BA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923D2"/>
    <w:multiLevelType w:val="multilevel"/>
    <w:tmpl w:val="B28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C143A"/>
    <w:multiLevelType w:val="multilevel"/>
    <w:tmpl w:val="404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B0B58"/>
    <w:multiLevelType w:val="multilevel"/>
    <w:tmpl w:val="DC8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C5F44"/>
    <w:multiLevelType w:val="multilevel"/>
    <w:tmpl w:val="0FB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00141"/>
    <w:multiLevelType w:val="multilevel"/>
    <w:tmpl w:val="777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3374C"/>
    <w:multiLevelType w:val="multilevel"/>
    <w:tmpl w:val="24E8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76F1A"/>
    <w:multiLevelType w:val="multilevel"/>
    <w:tmpl w:val="FDD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96CC0"/>
    <w:multiLevelType w:val="multilevel"/>
    <w:tmpl w:val="B66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220A74"/>
    <w:multiLevelType w:val="multilevel"/>
    <w:tmpl w:val="4F48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55350"/>
    <w:multiLevelType w:val="multilevel"/>
    <w:tmpl w:val="D55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6F6BD5"/>
    <w:multiLevelType w:val="multilevel"/>
    <w:tmpl w:val="3D46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07D0F"/>
    <w:multiLevelType w:val="multilevel"/>
    <w:tmpl w:val="0F6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4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6F"/>
    <w:rsid w:val="00042308"/>
    <w:rsid w:val="00055364"/>
    <w:rsid w:val="001978F0"/>
    <w:rsid w:val="001C1F6F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C1F6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C1F6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740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6969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vzsr.sk/docs/letaky/Ruska_navod_letak.pdf" TargetMode="External"/><Relationship Id="rId18" Type="http://schemas.openxmlformats.org/officeDocument/2006/relationships/hyperlink" Target="https://korona.gov.sk/koronavirus-na-slovensku-v-cislach/" TargetMode="External"/><Relationship Id="rId26" Type="http://schemas.openxmlformats.org/officeDocument/2006/relationships/hyperlink" Target="https://rokovania.gov.sk/RVL/Resolution/18844/1" TargetMode="External"/><Relationship Id="rId39" Type="http://schemas.openxmlformats.org/officeDocument/2006/relationships/hyperlink" Target="https://www.uvzsr.sk/docs/info/covid19/Usmernenie_stravv._uvolneni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vzsr.sk/index.php?option=com_content&amp;view=article&amp;id=4490:stanovisko-hlavneho-hygienika-sr-k-zavadzaniu-prisnejich-opatreni-&amp;catid=250:koronavirus-2019-ncov&amp;Itemid=153" TargetMode="External"/><Relationship Id="rId34" Type="http://schemas.openxmlformats.org/officeDocument/2006/relationships/hyperlink" Target="https://www.uvzsr.sk/index.php?option=com_content&amp;view=article&amp;id=4397:uvz-sr-prakticke-informacie-ankontakty-na-regionalne-urady-verejneho-zdravotnictva-vnsr-po-prichode-znrizikovych-krajin&amp;catid=250:koronavirus-2019-ncov&amp;Itemid=153" TargetMode="External"/><Relationship Id="rId42" Type="http://schemas.openxmlformats.org/officeDocument/2006/relationships/hyperlink" Target="https://www.minv.sk/swift_data/source/verejna_sprava/vestnik_vlady_sr_2020/ciastka_11_2020.pdf" TargetMode="External"/><Relationship Id="rId47" Type="http://schemas.openxmlformats.org/officeDocument/2006/relationships/hyperlink" Target="https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korona.gov.sk/co-je-covid-19/" TargetMode="External"/><Relationship Id="rId17" Type="http://schemas.openxmlformats.org/officeDocument/2006/relationships/hyperlink" Target="https://www.uvzsr.sk/index.php?option=com_content&amp;view=category&amp;layout=blog&amp;id=250&amp;Itemid=153" TargetMode="External"/><Relationship Id="rId25" Type="http://schemas.openxmlformats.org/officeDocument/2006/relationships/hyperlink" Target="https://www.uvzsr.sk/index.php?option=com_content&amp;view=article&amp;id=4437%3Auvz-sr-ako-vybavi-iakov-do-koly-rukami+%29&amp;Itemid=153" TargetMode="External"/><Relationship Id="rId33" Type="http://schemas.openxmlformats.org/officeDocument/2006/relationships/hyperlink" Target="http://www.minv.sk/swift_data/source/verejna_sprava/vestnik_vlady_sr_2020/ciastka_14_2020.pdf" TargetMode="External"/><Relationship Id="rId38" Type="http://schemas.openxmlformats.org/officeDocument/2006/relationships/hyperlink" Target="https://www.uvzsr.sk/docs/info/covid19/Usmernenie_zariadeni_pre_deti_do_3r_uvolnenie.pdf" TargetMode="External"/><Relationship Id="rId46" Type="http://schemas.openxmlformats.org/officeDocument/2006/relationships/hyperlink" Target="https://www.uvzsr.sk/docs/info/covid19/usmernenie_HH_SR_COVID_19_deviata_aktualizaci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rona.gov.sk/" TargetMode="External"/><Relationship Id="rId20" Type="http://schemas.openxmlformats.org/officeDocument/2006/relationships/hyperlink" Target="https://www.ecdc.europa.eu/en/cases-2019-ncov-eueea" TargetMode="External"/><Relationship Id="rId29" Type="http://schemas.openxmlformats.org/officeDocument/2006/relationships/hyperlink" Target="http://www.minv.sk/swift_data/source/verejna_sprava/vestnik_vlady_sr_2020/ciastka_14_2020.pdf" TargetMode="External"/><Relationship Id="rId41" Type="http://schemas.openxmlformats.org/officeDocument/2006/relationships/hyperlink" Target="https://www.uvzsr.sk/docs/info/covid19/Usmernenie_prax_ziakov_a_studentov_zdrav_SZV_091020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:koronavirus-2019-ncov&amp;id=4132:na-jednom-mieste-tu-najdete-vetky-aktualne-platne-vyhlaky-usmernenia-odporuania-uvz-sr-a-zasady-domacej-izolacie&amp;tmpl=component&amp;print=1&amp;layout=default&amp;page=&amp;option=com_content&amp;Itemid=153" TargetMode="External"/><Relationship Id="rId11" Type="http://schemas.openxmlformats.org/officeDocument/2006/relationships/hyperlink" Target="https://www.minv.sk/?vestnik-vlady-sr" TargetMode="External"/><Relationship Id="rId24" Type="http://schemas.openxmlformats.org/officeDocument/2006/relationships/hyperlink" Target="https://www.minv.sk/swift_data/source/verejna_sprava/vestnik_vlady_sr_2020/ciastka_11_2020.pdf" TargetMode="External"/><Relationship Id="rId32" Type="http://schemas.openxmlformats.org/officeDocument/2006/relationships/hyperlink" Target="http://korona.gov.sk/ehranica" TargetMode="External"/><Relationship Id="rId37" Type="http://schemas.openxmlformats.org/officeDocument/2006/relationships/hyperlink" Target="https://www.uvzsr.sk/docs/info/covid19/COVID-19_manual_opatreni_nove.pdf" TargetMode="External"/><Relationship Id="rId40" Type="http://schemas.openxmlformats.org/officeDocument/2006/relationships/hyperlink" Target="https://www.minedu.sk/manual-opatreni-pre-skoly-a-skolske-zariadenia-aktualizovany/" TargetMode="External"/><Relationship Id="rId45" Type="http://schemas.openxmlformats.org/officeDocument/2006/relationships/hyperlink" Target="https://www.uvzsr.sk/docs/info/covid19/Usmernenie_pre_pracoviska_UP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rona.gov.sk/wp-content/uploads/2020/04/Socialny_odstup_COVID-19.pdf" TargetMode="External"/><Relationship Id="rId23" Type="http://schemas.openxmlformats.org/officeDocument/2006/relationships/hyperlink" Target="https://www.uvzsr.sk/docs/info/ut/ciastka_14_2020.pdf" TargetMode="External"/><Relationship Id="rId28" Type="http://schemas.openxmlformats.org/officeDocument/2006/relationships/hyperlink" Target="https://www.uvzsr.sk/docs/info/covid19/Co_mam_robit_ak_som_bol_v_uzkom_kontakte_s_COVID-2019.pdf" TargetMode="External"/><Relationship Id="rId36" Type="http://schemas.openxmlformats.org/officeDocument/2006/relationships/hyperlink" Target="https://www.minv.sk/swift_data/source/verejna_sprava/vestnik_vlady_sr_2020/ciastka_11_2020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uvzsr.sk/index.php?option=com_content&amp;view=category&amp;layout=blog&amp;id=223&amp;Itemid=144" TargetMode="External"/><Relationship Id="rId19" Type="http://schemas.openxmlformats.org/officeDocument/2006/relationships/hyperlink" Target="https://www.ecdc.europa.eu/en/geographical-distribution-2019-ncov-cases" TargetMode="External"/><Relationship Id="rId31" Type="http://schemas.openxmlformats.org/officeDocument/2006/relationships/hyperlink" Target="http://korona.gov.sk/ehranica" TargetMode="External"/><Relationship Id="rId44" Type="http://schemas.openxmlformats.org/officeDocument/2006/relationships/hyperlink" Target="https://www.uvzsr.sk/docs/info/covid19/Krizovy_plan_pre_potravinove_prevadzky_3_aktualizacia_1210202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vzsr.sk/index.php?option=com_content&amp;view=article&amp;id=4266:uvz-sr-zdravie-je-vnistych-rukach&amp;catid=250:koronavirus-2019-ncov&amp;Itemid=153" TargetMode="External"/><Relationship Id="rId22" Type="http://schemas.openxmlformats.org/officeDocument/2006/relationships/hyperlink" Target="https://www.uvzsr.sk/docs/info/ut/vestnik_ciastka_12_2020.pdf" TargetMode="External"/><Relationship Id="rId27" Type="http://schemas.openxmlformats.org/officeDocument/2006/relationships/hyperlink" Target="https://www.uvzsr.sk/docs/info/covid19/Co_mam_robit_ak_som_COVID-19_pozitivny.pdf" TargetMode="External"/><Relationship Id="rId30" Type="http://schemas.openxmlformats.org/officeDocument/2006/relationships/hyperlink" Target="http://korona.gov.sk/ehranica" TargetMode="External"/><Relationship Id="rId35" Type="http://schemas.openxmlformats.org/officeDocument/2006/relationships/hyperlink" Target="https://www.minv.sk/swift_data/source/verejna_sprava/vestnik_vlady_sr_2020/ciastka_11_2020.pdf" TargetMode="External"/><Relationship Id="rId43" Type="http://schemas.openxmlformats.org/officeDocument/2006/relationships/hyperlink" Target="https://www.uvzsr.sk/index.php?option=com_content&amp;view=article&amp;id=4166:plan-rieenia-ochorenia-covid-19-v-marginalizovanych-romskych-komunitach&amp;catid=250:koronavirus-2019-ncov&amp;Itemid=153" TargetMode="External"/><Relationship Id="rId48" Type="http://schemas.openxmlformats.org/officeDocument/2006/relationships/hyperlink" Target="https://www.uvzsr.sk/docs/info/covid19/Usmernenie_hlavneho_hygienika_SR_elektivne_operacie_priazniva_epidemiologicka_situacia.pdf" TargetMode="External"/><Relationship Id="rId8" Type="http://schemas.openxmlformats.org/officeDocument/2006/relationships/hyperlink" Target="https://www.uvzsr.sk/index.php?option=com_mailto&amp;tmpl=component&amp;link=677c2552b0105c194933023075239bfde3a9071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2020-11-07T12:47:00Z</dcterms:created>
  <dcterms:modified xsi:type="dcterms:W3CDTF">2020-11-07T12:50:00Z</dcterms:modified>
</cp:coreProperties>
</file>